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161F9" w:rsidRPr="002161F9" w:rsidRDefault="002161F9" w:rsidP="002161F9">
      <w:pPr>
        <w:shd w:val="clear" w:color="auto" w:fill="FFFFFF"/>
        <w:spacing w:after="60" w:line="288" w:lineRule="atLeast"/>
        <w:outlineLvl w:val="0"/>
        <w:rPr>
          <w:rFonts w:ascii="Helvetica" w:eastAsia="Times New Roman" w:hAnsi="Helvetica" w:cs="Helvetica"/>
          <w:color w:val="000000"/>
          <w:kern w:val="36"/>
          <w:sz w:val="28"/>
          <w:szCs w:val="28"/>
        </w:rPr>
      </w:pPr>
      <w:r w:rsidRPr="002161F9">
        <w:rPr>
          <w:rFonts w:ascii="Helvetica" w:eastAsia="Times New Roman" w:hAnsi="Helvetica" w:cs="Helvetica"/>
          <w:color w:val="000000"/>
          <w:kern w:val="36"/>
          <w:sz w:val="28"/>
          <w:szCs w:val="28"/>
        </w:rPr>
        <w:t>Ruling on limits means campaign contributions could soar</w:t>
      </w:r>
    </w:p>
    <w:p w:rsidR="002161F9" w:rsidRPr="002161F9" w:rsidRDefault="002161F9" w:rsidP="002161F9">
      <w:pPr>
        <w:shd w:val="clear" w:color="auto" w:fill="FFFFFF"/>
        <w:spacing w:line="150" w:lineRule="atLeast"/>
        <w:outlineLvl w:val="2"/>
        <w:rPr>
          <w:rFonts w:ascii="Georgia" w:eastAsia="Times New Roman" w:hAnsi="Georgia" w:cs="Arial"/>
          <w:color w:val="333333"/>
          <w:sz w:val="18"/>
          <w:szCs w:val="18"/>
        </w:rPr>
      </w:pPr>
      <w:r w:rsidRPr="002161F9">
        <w:rPr>
          <w:rFonts w:ascii="Georgia" w:eastAsia="Times New Roman" w:hAnsi="Georgia" w:cs="Arial"/>
          <w:color w:val="333333"/>
          <w:sz w:val="18"/>
          <w:szCs w:val="18"/>
        </w:rPr>
        <w:t>By Darla Cameron, Dan Keating and Laura Stanton, </w:t>
      </w:r>
      <w:r w:rsidRPr="002161F9">
        <w:rPr>
          <w:rFonts w:ascii="Georgia" w:eastAsia="Times New Roman" w:hAnsi="Georgia" w:cs="Arial"/>
          <w:color w:val="6E6E6E"/>
          <w:sz w:val="18"/>
          <w:szCs w:val="18"/>
        </w:rPr>
        <w:t>Published: April 2, 2014</w:t>
      </w:r>
    </w:p>
    <w:p w:rsidR="002161F9" w:rsidRPr="002161F9" w:rsidRDefault="00C1028E" w:rsidP="00C1028E">
      <w:pPr>
        <w:shd w:val="clear" w:color="auto" w:fill="FFFFFF"/>
        <w:spacing w:before="45" w:after="150" w:line="360" w:lineRule="atLeast"/>
        <w:rPr>
          <w:rFonts w:ascii="Arial" w:eastAsia="Times New Roman" w:hAnsi="Arial" w:cs="Arial"/>
          <w:color w:val="000000"/>
        </w:rPr>
      </w:pPr>
      <w:r>
        <w:rPr>
          <w:rFonts w:ascii="Arial" w:eastAsia="Times New Roman" w:hAnsi="Arial" w:cs="Arial"/>
          <w:noProof/>
          <w:color w:val="000000"/>
        </w:rPr>
        <w:pict>
          <v:shapetype id="_x0000_t202" coordsize="21600,21600" o:spt="202" path="m0,0l0,21600,21600,21600,21600,0xe">
            <v:stroke joinstyle="miter"/>
            <v:path gradientshapeok="t" o:connecttype="rect"/>
          </v:shapetype>
          <v:shape id="_x0000_s1026" type="#_x0000_t202" style="position:absolute;margin-left:274.35pt;margin-top:77.35pt;width:182pt;height:191.35pt;z-index:251658240;mso-wrap-edited:f;mso-position-horizontal:absolute;mso-position-vertical:absolute" wrapcoords="0 0 21600 0 21600 21600 0 21600 0 0" filled="f" stroked="f">
            <v:fill o:detectmouseclick="t"/>
            <v:textbox inset=",7.2pt,,7.2pt">
              <w:txbxContent>
                <w:p w:rsidR="00C1028E" w:rsidRDefault="00C1028E">
                  <w:r w:rsidRPr="00C1028E">
                    <w:drawing>
                      <wp:inline distT="0" distB="0" distL="0" distR="0">
                        <wp:extent cx="2046469" cy="2101988"/>
                        <wp:effectExtent l="25400" t="0" r="10931" b="0"/>
                        <wp:docPr id="12" name="Picture 2" descr="candidat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idates graphic"/>
                                <pic:cNvPicPr>
                                  <a:picLocks noChangeAspect="1" noChangeArrowheads="1"/>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5206" cy="2100691"/>
                                </a:xfrm>
                                <a:prstGeom prst="rect">
                                  <a:avLst/>
                                </a:prstGeom>
                                <a:noFill/>
                                <a:ln>
                                  <a:noFill/>
                                </a:ln>
                              </pic:spPr>
                            </pic:pic>
                          </a:graphicData>
                        </a:graphic>
                      </wp:inline>
                    </w:drawing>
                  </w:r>
                </w:p>
              </w:txbxContent>
            </v:textbox>
            <w10:wrap type="tight"/>
          </v:shape>
        </w:pict>
      </w:r>
      <w:r w:rsidR="002161F9" w:rsidRPr="002161F9">
        <w:rPr>
          <w:rFonts w:ascii="Arial" w:eastAsia="Times New Roman" w:hAnsi="Arial" w:cs="Arial"/>
          <w:color w:val="000000"/>
        </w:rPr>
        <w:t>Federal campaign finance laws limit how much an individual can give to specific candidates, committees and political action committees (PACs). Today, the U.S. Supreme Court overturned an additional limit on the aggregate amount that an individual could give to candidates, party committees and PACs. Without any aggregate limit, an individual can now give millions directly to candidates and parties.</w:t>
      </w:r>
    </w:p>
    <w:p w:rsidR="00C1028E" w:rsidRDefault="00C1028E" w:rsidP="002161F9">
      <w:pPr>
        <w:shd w:val="clear" w:color="auto" w:fill="FFFFFF"/>
        <w:spacing w:after="60" w:line="288" w:lineRule="atLeast"/>
        <w:outlineLvl w:val="2"/>
        <w:rPr>
          <w:rFonts w:ascii="Helvetica" w:eastAsia="Times New Roman" w:hAnsi="Helvetica" w:cs="Helvetica"/>
          <w:b/>
          <w:color w:val="000000"/>
          <w:sz w:val="24"/>
          <w:szCs w:val="24"/>
        </w:rPr>
      </w:pPr>
    </w:p>
    <w:p w:rsidR="002161F9" w:rsidRPr="00966D2A" w:rsidRDefault="002161F9" w:rsidP="002161F9">
      <w:pPr>
        <w:shd w:val="clear" w:color="auto" w:fill="FFFFFF"/>
        <w:spacing w:after="60" w:line="288" w:lineRule="atLeast"/>
        <w:outlineLvl w:val="2"/>
        <w:rPr>
          <w:rFonts w:ascii="Helvetica" w:eastAsia="Times New Roman" w:hAnsi="Helvetica" w:cs="Helvetica"/>
          <w:b/>
          <w:color w:val="000000"/>
          <w:sz w:val="24"/>
          <w:szCs w:val="24"/>
        </w:rPr>
      </w:pPr>
      <w:r w:rsidRPr="00966D2A">
        <w:rPr>
          <w:rFonts w:ascii="Helvetica" w:eastAsia="Times New Roman" w:hAnsi="Helvetica" w:cs="Helvetica"/>
          <w:b/>
          <w:color w:val="000000"/>
          <w:sz w:val="24"/>
          <w:szCs w:val="24"/>
        </w:rPr>
        <w:t>Candidates</w:t>
      </w:r>
    </w:p>
    <w:p w:rsidR="002161F9" w:rsidRPr="002161F9" w:rsidRDefault="002161F9" w:rsidP="00966D2A">
      <w:pPr>
        <w:shd w:val="clear" w:color="auto" w:fill="FFFFFF"/>
        <w:spacing w:after="0" w:line="360" w:lineRule="atLeast"/>
        <w:rPr>
          <w:rFonts w:ascii="Arial" w:eastAsia="Times New Roman" w:hAnsi="Arial" w:cs="Arial"/>
          <w:color w:val="000000"/>
        </w:rPr>
      </w:pPr>
      <w:r w:rsidRPr="002161F9">
        <w:rPr>
          <w:rFonts w:ascii="Arial" w:eastAsia="Times New Roman" w:hAnsi="Arial" w:cs="Arial"/>
          <w:color w:val="000000"/>
        </w:rPr>
        <w:t>Before, a single donor could contribute up to $5,200 to every House and Senate candidate up to a limit of $48,600.</w:t>
      </w:r>
      <w:r w:rsidR="00C1028E" w:rsidRPr="00C1028E">
        <w:rPr>
          <w:rFonts w:ascii="Arial" w:eastAsia="Times New Roman" w:hAnsi="Arial" w:cs="Arial"/>
          <w:color w:val="000000"/>
        </w:rPr>
        <w:t xml:space="preserve"> </w:t>
      </w:r>
    </w:p>
    <w:p w:rsidR="002161F9" w:rsidRPr="002161F9" w:rsidRDefault="002161F9" w:rsidP="00144D53">
      <w:pPr>
        <w:shd w:val="clear" w:color="auto" w:fill="FFFFFF"/>
        <w:spacing w:line="360" w:lineRule="atLeast"/>
        <w:rPr>
          <w:rFonts w:ascii="Arial" w:eastAsia="Times New Roman" w:hAnsi="Arial" w:cs="Arial"/>
          <w:color w:val="000000"/>
        </w:rPr>
      </w:pPr>
      <w:r w:rsidRPr="002161F9">
        <w:rPr>
          <w:rFonts w:ascii="Arial" w:eastAsia="Times New Roman" w:hAnsi="Arial" w:cs="Arial"/>
          <w:color w:val="000000"/>
        </w:rPr>
        <w:t>Now, if a single donor gives $5,200 to every House and Senate candidates of one party in a 468-race election cycle, the total would be $2,433,600.</w:t>
      </w:r>
    </w:p>
    <w:p w:rsidR="00C1028E" w:rsidRDefault="00C1028E" w:rsidP="002161F9">
      <w:pPr>
        <w:shd w:val="clear" w:color="auto" w:fill="FFFFFF"/>
        <w:spacing w:after="60" w:line="288" w:lineRule="atLeast"/>
        <w:outlineLvl w:val="2"/>
        <w:rPr>
          <w:rFonts w:ascii="Helvetica" w:eastAsia="Times New Roman" w:hAnsi="Helvetica" w:cs="Helvetica"/>
          <w:b/>
          <w:color w:val="000000"/>
          <w:sz w:val="24"/>
          <w:szCs w:val="24"/>
        </w:rPr>
      </w:pPr>
      <w:r>
        <w:rPr>
          <w:rFonts w:ascii="Helvetica" w:eastAsia="Times New Roman" w:hAnsi="Helvetica" w:cs="Helvetica"/>
          <w:b/>
          <w:noProof/>
          <w:color w:val="000000"/>
          <w:sz w:val="24"/>
          <w:szCs w:val="24"/>
        </w:rPr>
        <w:pict>
          <v:shape id="_x0000_s1031" type="#_x0000_t202" style="position:absolute;margin-left:283.6pt;margin-top:15.65pt;width:173.9pt;height:183.15pt;z-index:251659264;mso-wrap-edited:f;mso-position-horizontal:absolute;mso-position-vertical:absolute" wrapcoords="0 0 21600 0 21600 21600 0 21600 0 0" filled="f" stroked="f">
            <v:fill o:detectmouseclick="t"/>
            <v:textbox inset=",7.2pt,,7.2pt">
              <w:txbxContent>
                <w:p w:rsidR="00C1028E" w:rsidRDefault="00C1028E">
                  <w:r w:rsidRPr="00C1028E">
                    <w:drawing>
                      <wp:inline distT="0" distB="0" distL="0" distR="0">
                        <wp:extent cx="2025650" cy="2080604"/>
                        <wp:effectExtent l="25400" t="0" r="6350" b="0"/>
                        <wp:docPr id="16" name="Picture 2" descr="candidat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idates graphic"/>
                                <pic:cNvPicPr>
                                  <a:picLocks noChangeAspect="1" noChangeArrowheads="1"/>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2080604"/>
                                </a:xfrm>
                                <a:prstGeom prst="rect">
                                  <a:avLst/>
                                </a:prstGeom>
                                <a:noFill/>
                                <a:ln>
                                  <a:noFill/>
                                </a:ln>
                              </pic:spPr>
                            </pic:pic>
                          </a:graphicData>
                        </a:graphic>
                      </wp:inline>
                    </w:drawing>
                  </w:r>
                </w:p>
              </w:txbxContent>
            </v:textbox>
            <w10:wrap type="tight"/>
          </v:shape>
        </w:pict>
      </w:r>
    </w:p>
    <w:p w:rsidR="00C1028E" w:rsidRPr="00966D2A" w:rsidRDefault="00C1028E" w:rsidP="00C1028E">
      <w:pPr>
        <w:shd w:val="clear" w:color="auto" w:fill="FFFFFF"/>
        <w:spacing w:after="60" w:line="288" w:lineRule="atLeast"/>
        <w:outlineLvl w:val="2"/>
        <w:rPr>
          <w:rFonts w:ascii="Helvetica" w:eastAsia="Times New Roman" w:hAnsi="Helvetica" w:cs="Helvetica"/>
          <w:b/>
          <w:color w:val="000000"/>
          <w:sz w:val="24"/>
          <w:szCs w:val="24"/>
        </w:rPr>
      </w:pPr>
      <w:bookmarkStart w:id="0" w:name="_GoBack"/>
      <w:r w:rsidRPr="00966D2A">
        <w:rPr>
          <w:rFonts w:ascii="Helvetica" w:eastAsia="Times New Roman" w:hAnsi="Helvetica" w:cs="Helvetica"/>
          <w:b/>
          <w:color w:val="000000"/>
          <w:sz w:val="24"/>
          <w:szCs w:val="24"/>
        </w:rPr>
        <w:t>Party committees</w:t>
      </w:r>
    </w:p>
    <w:p w:rsidR="00C1028E" w:rsidRPr="002161F9" w:rsidRDefault="00C1028E" w:rsidP="00C1028E">
      <w:pPr>
        <w:shd w:val="clear" w:color="auto" w:fill="FFFFFF"/>
        <w:spacing w:after="0" w:line="360" w:lineRule="atLeast"/>
        <w:rPr>
          <w:rFonts w:ascii="Arial" w:eastAsia="Times New Roman" w:hAnsi="Arial" w:cs="Arial"/>
          <w:color w:val="000000"/>
        </w:rPr>
      </w:pPr>
      <w:r w:rsidRPr="002161F9">
        <w:rPr>
          <w:rFonts w:ascii="Arial" w:eastAsia="Times New Roman" w:hAnsi="Arial" w:cs="Arial"/>
          <w:color w:val="000000"/>
        </w:rPr>
        <w:t>Before, contributions to party committees were limited to $74,600 total.</w:t>
      </w:r>
    </w:p>
    <w:p w:rsidR="00C1028E" w:rsidRDefault="00C1028E" w:rsidP="00C1028E">
      <w:pPr>
        <w:shd w:val="clear" w:color="auto" w:fill="FFFFFF"/>
        <w:spacing w:after="120" w:line="360" w:lineRule="atLeast"/>
        <w:rPr>
          <w:rFonts w:ascii="Arial" w:eastAsia="Times New Roman" w:hAnsi="Arial" w:cs="Arial"/>
          <w:color w:val="000000"/>
        </w:rPr>
      </w:pPr>
      <w:r w:rsidRPr="002161F9">
        <w:rPr>
          <w:rFonts w:ascii="Arial" w:eastAsia="Times New Roman" w:hAnsi="Arial" w:cs="Arial"/>
          <w:color w:val="000000"/>
        </w:rPr>
        <w:t>Now, a single donor can give $32,400 to each of the three federal party committees each year and $10,000 to each of the party’s 50 state committees for up to $1,194,400 in donations in a two-year election cycle</w:t>
      </w:r>
    </w:p>
    <w:p w:rsidR="00C1028E" w:rsidRDefault="00C1028E" w:rsidP="00C1028E">
      <w:pPr>
        <w:shd w:val="clear" w:color="auto" w:fill="FFFFFF"/>
        <w:spacing w:after="120" w:line="360" w:lineRule="atLeast"/>
        <w:rPr>
          <w:rFonts w:ascii="Arial" w:eastAsia="Times New Roman" w:hAnsi="Arial" w:cs="Arial"/>
          <w:color w:val="000000"/>
        </w:rPr>
      </w:pPr>
    </w:p>
    <w:p w:rsidR="00C1028E" w:rsidRPr="00966D2A" w:rsidRDefault="00C1028E" w:rsidP="00C1028E">
      <w:pPr>
        <w:shd w:val="clear" w:color="auto" w:fill="FFFFFF"/>
        <w:spacing w:after="60" w:line="288" w:lineRule="atLeast"/>
        <w:outlineLvl w:val="2"/>
        <w:rPr>
          <w:rFonts w:ascii="Helvetica" w:eastAsia="Times New Roman" w:hAnsi="Helvetica" w:cs="Helvetica"/>
          <w:b/>
          <w:color w:val="000000"/>
          <w:sz w:val="24"/>
          <w:szCs w:val="24"/>
        </w:rPr>
      </w:pPr>
      <w:r>
        <w:rPr>
          <w:rFonts w:ascii="Helvetica" w:eastAsia="Times New Roman" w:hAnsi="Helvetica" w:cs="Helvetica"/>
          <w:b/>
          <w:noProof/>
          <w:color w:val="000000"/>
          <w:sz w:val="24"/>
          <w:szCs w:val="24"/>
        </w:rPr>
        <w:pict>
          <v:shape id="_x0000_s1032" type="#_x0000_t202" style="position:absolute;margin-left:300.75pt;margin-top:14.15pt;width:151.7pt;height:185.05pt;z-index:251660288;mso-wrap-edited:f" wrapcoords="0 0 21600 0 21600 21600 0 21600 0 0" filled="f" stroked="f">
            <v:fill o:detectmouseclick="t"/>
            <v:textbox inset=",7.2pt,,7.2pt">
              <w:txbxContent>
                <w:p w:rsidR="00C1028E" w:rsidRDefault="008602EE">
                  <w:r w:rsidRPr="008602EE">
                    <w:drawing>
                      <wp:inline distT="0" distB="0" distL="0" distR="0">
                        <wp:extent cx="1743710" cy="1917421"/>
                        <wp:effectExtent l="25400" t="0" r="8890" b="0"/>
                        <wp:docPr id="17" name="Picture 3" descr="candidat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idates graphic"/>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1917421"/>
                                </a:xfrm>
                                <a:prstGeom prst="rect">
                                  <a:avLst/>
                                </a:prstGeom>
                                <a:noFill/>
                                <a:ln>
                                  <a:noFill/>
                                </a:ln>
                              </pic:spPr>
                            </pic:pic>
                          </a:graphicData>
                        </a:graphic>
                      </wp:inline>
                    </w:drawing>
                  </w:r>
                </w:p>
              </w:txbxContent>
            </v:textbox>
            <w10:wrap type="tight"/>
          </v:shape>
        </w:pict>
      </w:r>
      <w:r w:rsidRPr="00966D2A">
        <w:rPr>
          <w:rFonts w:ascii="Helvetica" w:eastAsia="Times New Roman" w:hAnsi="Helvetica" w:cs="Helvetica"/>
          <w:b/>
          <w:color w:val="000000"/>
          <w:sz w:val="24"/>
          <w:szCs w:val="24"/>
        </w:rPr>
        <w:t>Political action committees</w:t>
      </w:r>
    </w:p>
    <w:p w:rsidR="00C1028E" w:rsidRPr="002161F9" w:rsidRDefault="00C1028E" w:rsidP="00C1028E">
      <w:pPr>
        <w:shd w:val="clear" w:color="auto" w:fill="FFFFFF"/>
        <w:spacing w:after="0" w:line="360" w:lineRule="atLeast"/>
        <w:rPr>
          <w:rFonts w:ascii="Arial" w:eastAsia="Times New Roman" w:hAnsi="Arial" w:cs="Arial"/>
          <w:color w:val="000000"/>
        </w:rPr>
      </w:pPr>
      <w:r w:rsidRPr="002161F9">
        <w:rPr>
          <w:rFonts w:ascii="Arial" w:eastAsia="Times New Roman" w:hAnsi="Arial" w:cs="Arial"/>
          <w:color w:val="000000"/>
        </w:rPr>
        <w:t>Before, contributions to PACs were limited to a total of $74,600 in increments of up to $5,000. There were 2,757 PACs in the 2012 election cycle.</w:t>
      </w:r>
    </w:p>
    <w:p w:rsidR="00C1028E" w:rsidRPr="002161F9" w:rsidRDefault="00C1028E" w:rsidP="00C1028E">
      <w:pPr>
        <w:shd w:val="clear" w:color="auto" w:fill="FFFFFF"/>
        <w:spacing w:after="120" w:line="360" w:lineRule="atLeast"/>
        <w:rPr>
          <w:rFonts w:ascii="Arial" w:eastAsia="Times New Roman" w:hAnsi="Arial" w:cs="Arial"/>
          <w:color w:val="000000"/>
        </w:rPr>
      </w:pPr>
      <w:r w:rsidRPr="002161F9">
        <w:rPr>
          <w:rFonts w:ascii="Arial" w:eastAsia="Times New Roman" w:hAnsi="Arial" w:cs="Arial"/>
          <w:color w:val="000000"/>
        </w:rPr>
        <w:t>Now, a single donor can give up to $5,000 to each PAC aligned with his or her political interest. If a donor spent $5,000 on every</w:t>
      </w:r>
      <w:r w:rsidR="005F694E">
        <w:rPr>
          <w:rFonts w:ascii="Arial" w:eastAsia="Times New Roman" w:hAnsi="Arial" w:cs="Arial"/>
          <w:color w:val="000000"/>
        </w:rPr>
        <w:t xml:space="preserve"> PAC in the 2012 election cycle</w:t>
      </w:r>
      <w:r w:rsidRPr="002161F9">
        <w:rPr>
          <w:rFonts w:ascii="Arial" w:eastAsia="Times New Roman" w:hAnsi="Arial" w:cs="Arial"/>
          <w:color w:val="000000"/>
        </w:rPr>
        <w:t xml:space="preserve"> that would equal $13.7 million.</w:t>
      </w:r>
    </w:p>
    <w:p w:rsidR="002161F9" w:rsidRPr="002161F9" w:rsidRDefault="002161F9" w:rsidP="00C1028E">
      <w:pPr>
        <w:shd w:val="clear" w:color="auto" w:fill="FFFFFF"/>
        <w:spacing w:after="120" w:line="360" w:lineRule="atLeast"/>
        <w:rPr>
          <w:rFonts w:ascii="Arial" w:eastAsia="Times New Roman" w:hAnsi="Arial" w:cs="Arial"/>
          <w:color w:val="000000"/>
        </w:rPr>
      </w:pPr>
    </w:p>
    <w:bookmarkEnd w:id="0"/>
    <w:sectPr w:rsidR="002161F9" w:rsidRPr="002161F9" w:rsidSect="00966D2A">
      <w:footerReference w:type="default" r:id="rId8"/>
      <w:pgSz w:w="12240" w:h="15840"/>
      <w:pgMar w:top="1080" w:right="144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FD" w:rsidRDefault="008065FD" w:rsidP="002161F9">
      <w:pPr>
        <w:spacing w:after="0" w:line="240" w:lineRule="auto"/>
      </w:pPr>
      <w:r>
        <w:separator/>
      </w:r>
    </w:p>
  </w:endnote>
  <w:endnote w:type="continuationSeparator" w:id="0">
    <w:p w:rsidR="008065FD" w:rsidRDefault="008065FD" w:rsidP="00216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8E" w:rsidRDefault="00C1028E">
    <w:pPr>
      <w:pStyle w:val="Footer"/>
    </w:pPr>
    <w:r>
      <w:t xml:space="preserve">Source: The Campaign Legal Center </w:t>
    </w:r>
  </w:p>
  <w:p w:rsidR="002161F9" w:rsidRDefault="002161F9">
    <w:pPr>
      <w:pStyle w:val="Footer"/>
    </w:pPr>
    <w:r w:rsidRPr="002161F9">
      <w:t>http://www.washingtonpost.com/wp-srv/special/politics/overall-contribution-limits/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FD" w:rsidRDefault="008065FD" w:rsidP="002161F9">
      <w:pPr>
        <w:spacing w:after="0" w:line="240" w:lineRule="auto"/>
      </w:pPr>
      <w:r>
        <w:separator/>
      </w:r>
    </w:p>
  </w:footnote>
  <w:footnote w:type="continuationSeparator" w:id="0">
    <w:p w:rsidR="008065FD" w:rsidRDefault="008065FD" w:rsidP="002161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2161F9"/>
    <w:rsid w:val="000E1A97"/>
    <w:rsid w:val="00144D53"/>
    <w:rsid w:val="002161F9"/>
    <w:rsid w:val="002E5B2C"/>
    <w:rsid w:val="004B72D1"/>
    <w:rsid w:val="005D1E1F"/>
    <w:rsid w:val="005F694E"/>
    <w:rsid w:val="008065FD"/>
    <w:rsid w:val="008602EE"/>
    <w:rsid w:val="008A36A9"/>
    <w:rsid w:val="00966D2A"/>
    <w:rsid w:val="00C1028E"/>
    <w:rsid w:val="00FF32C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B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1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F9"/>
    <w:rPr>
      <w:rFonts w:ascii="Tahoma" w:hAnsi="Tahoma" w:cs="Tahoma"/>
      <w:sz w:val="16"/>
      <w:szCs w:val="16"/>
    </w:rPr>
  </w:style>
  <w:style w:type="paragraph" w:styleId="Header">
    <w:name w:val="header"/>
    <w:basedOn w:val="Normal"/>
    <w:link w:val="HeaderChar"/>
    <w:uiPriority w:val="99"/>
    <w:unhideWhenUsed/>
    <w:rsid w:val="0021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F9"/>
  </w:style>
  <w:style w:type="paragraph" w:styleId="Footer">
    <w:name w:val="footer"/>
    <w:basedOn w:val="Normal"/>
    <w:link w:val="FooterChar"/>
    <w:uiPriority w:val="99"/>
    <w:unhideWhenUsed/>
    <w:rsid w:val="0021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F9"/>
  </w:style>
  <w:style w:type="table" w:styleId="TableGrid">
    <w:name w:val="Table Grid"/>
    <w:basedOn w:val="TableNormal"/>
    <w:uiPriority w:val="59"/>
    <w:rsid w:val="00C10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1F9"/>
    <w:rPr>
      <w:rFonts w:ascii="Tahoma" w:hAnsi="Tahoma" w:cs="Tahoma"/>
      <w:sz w:val="16"/>
      <w:szCs w:val="16"/>
    </w:rPr>
  </w:style>
  <w:style w:type="paragraph" w:styleId="Header">
    <w:name w:val="header"/>
    <w:basedOn w:val="Normal"/>
    <w:link w:val="HeaderChar"/>
    <w:uiPriority w:val="99"/>
    <w:unhideWhenUsed/>
    <w:rsid w:val="0021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F9"/>
  </w:style>
  <w:style w:type="paragraph" w:styleId="Footer">
    <w:name w:val="footer"/>
    <w:basedOn w:val="Normal"/>
    <w:link w:val="FooterChar"/>
    <w:uiPriority w:val="99"/>
    <w:unhideWhenUsed/>
    <w:rsid w:val="0021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F9"/>
  </w:style>
</w:styles>
</file>

<file path=word/webSettings.xml><?xml version="1.0" encoding="utf-8"?>
<w:webSettings xmlns:r="http://schemas.openxmlformats.org/officeDocument/2006/relationships" xmlns:w="http://schemas.openxmlformats.org/wordprocessingml/2006/main">
  <w:divs>
    <w:div w:id="658772308">
      <w:bodyDiv w:val="1"/>
      <w:marLeft w:val="0"/>
      <w:marRight w:val="0"/>
      <w:marTop w:val="0"/>
      <w:marBottom w:val="0"/>
      <w:divBdr>
        <w:top w:val="none" w:sz="0" w:space="0" w:color="auto"/>
        <w:left w:val="none" w:sz="0" w:space="0" w:color="auto"/>
        <w:bottom w:val="none" w:sz="0" w:space="0" w:color="auto"/>
        <w:right w:val="none" w:sz="0" w:space="0" w:color="auto"/>
      </w:divBdr>
      <w:divsChild>
        <w:div w:id="95059118">
          <w:marLeft w:val="0"/>
          <w:marRight w:val="0"/>
          <w:marTop w:val="150"/>
          <w:marBottom w:val="225"/>
          <w:divBdr>
            <w:top w:val="none" w:sz="0" w:space="0" w:color="auto"/>
            <w:left w:val="none" w:sz="0" w:space="0" w:color="auto"/>
            <w:bottom w:val="none" w:sz="0" w:space="0" w:color="auto"/>
            <w:right w:val="none" w:sz="0" w:space="0" w:color="auto"/>
          </w:divBdr>
        </w:div>
        <w:div w:id="440225711">
          <w:marLeft w:val="0"/>
          <w:marRight w:val="0"/>
          <w:marTop w:val="300"/>
          <w:marBottom w:val="150"/>
          <w:divBdr>
            <w:top w:val="none" w:sz="0" w:space="0" w:color="auto"/>
            <w:left w:val="none" w:sz="0" w:space="0" w:color="auto"/>
            <w:bottom w:val="none" w:sz="0" w:space="0" w:color="auto"/>
            <w:right w:val="none" w:sz="0" w:space="0" w:color="auto"/>
          </w:divBdr>
          <w:divsChild>
            <w:div w:id="1012538120">
              <w:marLeft w:val="0"/>
              <w:marRight w:val="0"/>
              <w:marTop w:val="0"/>
              <w:marBottom w:val="0"/>
              <w:divBdr>
                <w:top w:val="none" w:sz="0" w:space="0" w:color="auto"/>
                <w:left w:val="none" w:sz="0" w:space="0" w:color="auto"/>
                <w:bottom w:val="none" w:sz="0" w:space="0" w:color="auto"/>
                <w:right w:val="none" w:sz="0" w:space="0" w:color="auto"/>
              </w:divBdr>
            </w:div>
            <w:div w:id="143668442">
              <w:marLeft w:val="0"/>
              <w:marRight w:val="0"/>
              <w:marTop w:val="0"/>
              <w:marBottom w:val="0"/>
              <w:divBdr>
                <w:top w:val="none" w:sz="0" w:space="0" w:color="auto"/>
                <w:left w:val="none" w:sz="0" w:space="0" w:color="auto"/>
                <w:bottom w:val="none" w:sz="0" w:space="0" w:color="auto"/>
                <w:right w:val="none" w:sz="0" w:space="0" w:color="auto"/>
              </w:divBdr>
            </w:div>
          </w:divsChild>
        </w:div>
        <w:div w:id="968777504">
          <w:marLeft w:val="0"/>
          <w:marRight w:val="0"/>
          <w:marTop w:val="300"/>
          <w:marBottom w:val="150"/>
          <w:divBdr>
            <w:top w:val="none" w:sz="0" w:space="0" w:color="auto"/>
            <w:left w:val="none" w:sz="0" w:space="0" w:color="auto"/>
            <w:bottom w:val="none" w:sz="0" w:space="0" w:color="auto"/>
            <w:right w:val="none" w:sz="0" w:space="0" w:color="auto"/>
          </w:divBdr>
          <w:divsChild>
            <w:div w:id="125128793">
              <w:marLeft w:val="0"/>
              <w:marRight w:val="0"/>
              <w:marTop w:val="0"/>
              <w:marBottom w:val="0"/>
              <w:divBdr>
                <w:top w:val="none" w:sz="0" w:space="0" w:color="auto"/>
                <w:left w:val="none" w:sz="0" w:space="0" w:color="auto"/>
                <w:bottom w:val="none" w:sz="0" w:space="0" w:color="auto"/>
                <w:right w:val="none" w:sz="0" w:space="0" w:color="auto"/>
              </w:divBdr>
            </w:div>
            <w:div w:id="1968118737">
              <w:marLeft w:val="0"/>
              <w:marRight w:val="0"/>
              <w:marTop w:val="0"/>
              <w:marBottom w:val="0"/>
              <w:divBdr>
                <w:top w:val="none" w:sz="0" w:space="0" w:color="auto"/>
                <w:left w:val="none" w:sz="0" w:space="0" w:color="auto"/>
                <w:bottom w:val="none" w:sz="0" w:space="0" w:color="auto"/>
                <w:right w:val="none" w:sz="0" w:space="0" w:color="auto"/>
              </w:divBdr>
            </w:div>
          </w:divsChild>
        </w:div>
        <w:div w:id="292635637">
          <w:marLeft w:val="0"/>
          <w:marRight w:val="0"/>
          <w:marTop w:val="300"/>
          <w:marBottom w:val="150"/>
          <w:divBdr>
            <w:top w:val="none" w:sz="0" w:space="0" w:color="auto"/>
            <w:left w:val="none" w:sz="0" w:space="0" w:color="auto"/>
            <w:bottom w:val="none" w:sz="0" w:space="0" w:color="auto"/>
            <w:right w:val="none" w:sz="0" w:space="0" w:color="auto"/>
          </w:divBdr>
          <w:divsChild>
            <w:div w:id="37363369">
              <w:marLeft w:val="0"/>
              <w:marRight w:val="0"/>
              <w:marTop w:val="0"/>
              <w:marBottom w:val="0"/>
              <w:divBdr>
                <w:top w:val="none" w:sz="0" w:space="0" w:color="auto"/>
                <w:left w:val="none" w:sz="0" w:space="0" w:color="auto"/>
                <w:bottom w:val="none" w:sz="0" w:space="0" w:color="auto"/>
                <w:right w:val="none" w:sz="0" w:space="0" w:color="auto"/>
              </w:divBdr>
            </w:div>
            <w:div w:id="1499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Joanne Richards</cp:lastModifiedBy>
  <cp:revision>5</cp:revision>
  <cp:lastPrinted>2014-04-10T01:55:00Z</cp:lastPrinted>
  <dcterms:created xsi:type="dcterms:W3CDTF">2014-04-08T21:02:00Z</dcterms:created>
  <dcterms:modified xsi:type="dcterms:W3CDTF">2014-04-10T01:56:00Z</dcterms:modified>
</cp:coreProperties>
</file>